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B1064" w14:textId="0D940FBC" w:rsidR="001E748A" w:rsidRDefault="000504CA"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Lesson Plan: </w:t>
      </w:r>
      <w:r w:rsidR="00953762" w:rsidRPr="00953762">
        <w:rPr>
          <w:rFonts w:ascii="Cambria" w:hAnsi="Cambria"/>
          <w:b/>
          <w:sz w:val="28"/>
          <w:szCs w:val="28"/>
          <w:shd w:val="clear" w:color="auto" w:fill="D0CECE" w:themeFill="background2" w:themeFillShade="E6"/>
        </w:rPr>
        <w:t>Hybrid hijinks</w:t>
      </w:r>
    </w:p>
    <w:tbl>
      <w:tblPr>
        <w:tblStyle w:val="TableGrid"/>
        <w:tblW w:w="0" w:type="auto"/>
        <w:tblLook w:val="04A0" w:firstRow="1" w:lastRow="0" w:firstColumn="1" w:lastColumn="0" w:noHBand="0" w:noVBand="1"/>
      </w:tblPr>
      <w:tblGrid>
        <w:gridCol w:w="4320"/>
        <w:gridCol w:w="4320"/>
        <w:gridCol w:w="1805"/>
      </w:tblGrid>
      <w:tr w:rsidR="00953762" w14:paraId="67AF51A5" w14:textId="77777777" w:rsidTr="00953762">
        <w:trPr>
          <w:gridAfter w:val="1"/>
          <w:wAfter w:w="1805" w:type="dxa"/>
          <w:trHeight w:val="288"/>
        </w:trPr>
        <w:tc>
          <w:tcPr>
            <w:tcW w:w="4320" w:type="dxa"/>
            <w:tcBorders>
              <w:top w:val="nil"/>
              <w:left w:val="nil"/>
              <w:bottom w:val="single" w:sz="4" w:space="0" w:color="auto"/>
              <w:right w:val="nil"/>
            </w:tcBorders>
          </w:tcPr>
          <w:p w14:paraId="0B22012C" w14:textId="3B2AA730" w:rsidR="00953762" w:rsidRPr="00953762" w:rsidRDefault="00953762" w:rsidP="00953762">
            <w:pPr>
              <w:spacing w:line="259" w:lineRule="auto"/>
              <w:jc w:val="center"/>
              <w:rPr>
                <w:rFonts w:ascii="Cambria" w:hAnsi="Cambria"/>
                <w:i/>
                <w:iCs/>
                <w:sz w:val="28"/>
                <w:szCs w:val="28"/>
              </w:rPr>
            </w:pPr>
            <w:r w:rsidRPr="00953762">
              <w:rPr>
                <w:rFonts w:ascii="Cambria" w:hAnsi="Cambria"/>
                <w:i/>
                <w:iCs/>
                <w:sz w:val="28"/>
                <w:szCs w:val="28"/>
              </w:rPr>
              <w:t>Word</w:t>
            </w:r>
          </w:p>
        </w:tc>
        <w:tc>
          <w:tcPr>
            <w:tcW w:w="4320" w:type="dxa"/>
            <w:tcBorders>
              <w:top w:val="nil"/>
              <w:left w:val="nil"/>
              <w:bottom w:val="single" w:sz="4" w:space="0" w:color="auto"/>
              <w:right w:val="nil"/>
            </w:tcBorders>
          </w:tcPr>
          <w:p w14:paraId="1416D409" w14:textId="77777777" w:rsidR="00953762" w:rsidRPr="00953762" w:rsidRDefault="00953762" w:rsidP="00953762">
            <w:pPr>
              <w:spacing w:line="259" w:lineRule="auto"/>
              <w:jc w:val="center"/>
              <w:rPr>
                <w:rFonts w:ascii="Cambria" w:hAnsi="Cambria"/>
                <w:i/>
                <w:iCs/>
                <w:sz w:val="28"/>
                <w:szCs w:val="28"/>
              </w:rPr>
            </w:pPr>
            <w:r w:rsidRPr="00953762">
              <w:rPr>
                <w:rFonts w:ascii="Cambria" w:hAnsi="Cambria"/>
                <w:i/>
                <w:iCs/>
                <w:sz w:val="28"/>
                <w:szCs w:val="28"/>
              </w:rPr>
              <w:t>Definition</w:t>
            </w:r>
          </w:p>
          <w:p w14:paraId="3293B5B9" w14:textId="6ED924C7" w:rsidR="00953762" w:rsidRPr="00953762" w:rsidRDefault="00953762" w:rsidP="00953762">
            <w:pPr>
              <w:spacing w:line="259" w:lineRule="auto"/>
              <w:jc w:val="center"/>
              <w:rPr>
                <w:rFonts w:ascii="Cambria" w:hAnsi="Cambria"/>
                <w:i/>
                <w:iCs/>
                <w:sz w:val="28"/>
                <w:szCs w:val="28"/>
              </w:rPr>
            </w:pPr>
          </w:p>
        </w:tc>
      </w:tr>
      <w:tr w:rsidR="00953762" w14:paraId="429D3959" w14:textId="77777777" w:rsidTr="000F7CC8">
        <w:trPr>
          <w:trHeight w:val="2880"/>
        </w:trPr>
        <w:tc>
          <w:tcPr>
            <w:tcW w:w="4320" w:type="dxa"/>
            <w:tcBorders>
              <w:top w:val="single" w:sz="4" w:space="0" w:color="auto"/>
            </w:tcBorders>
            <w:vAlign w:val="center"/>
          </w:tcPr>
          <w:p w14:paraId="4BDC262B" w14:textId="6F1A5EDB"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Artificial selection</w:t>
            </w:r>
          </w:p>
        </w:tc>
        <w:tc>
          <w:tcPr>
            <w:tcW w:w="6120" w:type="dxa"/>
            <w:gridSpan w:val="2"/>
            <w:tcBorders>
              <w:top w:val="single" w:sz="4" w:space="0" w:color="auto"/>
            </w:tcBorders>
            <w:vAlign w:val="center"/>
          </w:tcPr>
          <w:p w14:paraId="57B129CB" w14:textId="694C612D"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The process of manipulating species’ genomes to favor specific traits; also known as selective breeding</w:t>
            </w:r>
          </w:p>
        </w:tc>
      </w:tr>
      <w:tr w:rsidR="00953762" w14:paraId="17DFF87A" w14:textId="77777777" w:rsidTr="000F7CC8">
        <w:trPr>
          <w:trHeight w:val="2880"/>
        </w:trPr>
        <w:tc>
          <w:tcPr>
            <w:tcW w:w="4320" w:type="dxa"/>
            <w:vAlign w:val="center"/>
          </w:tcPr>
          <w:p w14:paraId="24ADD4B0" w14:textId="7BFFB643"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Chromosome</w:t>
            </w:r>
          </w:p>
        </w:tc>
        <w:tc>
          <w:tcPr>
            <w:tcW w:w="6120" w:type="dxa"/>
            <w:gridSpan w:val="2"/>
            <w:vAlign w:val="center"/>
          </w:tcPr>
          <w:p w14:paraId="3BC5371C" w14:textId="629C4DB3"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The threadlike strand of single long piece of DNA; the molecule that carries instructions for a cell. This strand is wound around proteins known as histones, allowing the DNA to fit inside of a cell.</w:t>
            </w:r>
          </w:p>
        </w:tc>
      </w:tr>
      <w:tr w:rsidR="00953762" w14:paraId="3EABEF53" w14:textId="77777777" w:rsidTr="000F7CC8">
        <w:trPr>
          <w:trHeight w:val="2880"/>
        </w:trPr>
        <w:tc>
          <w:tcPr>
            <w:tcW w:w="4320" w:type="dxa"/>
            <w:vAlign w:val="center"/>
          </w:tcPr>
          <w:p w14:paraId="064C28DB" w14:textId="1C003236"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Diploid</w:t>
            </w:r>
          </w:p>
        </w:tc>
        <w:tc>
          <w:tcPr>
            <w:tcW w:w="6120" w:type="dxa"/>
            <w:gridSpan w:val="2"/>
            <w:vAlign w:val="center"/>
          </w:tcPr>
          <w:p w14:paraId="32C80671" w14:textId="215DA7E4"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Having two full sets of chromosomes; in other words, genetic information from both sperm and egg</w:t>
            </w:r>
          </w:p>
        </w:tc>
      </w:tr>
      <w:tr w:rsidR="00953762" w14:paraId="493B8993" w14:textId="77777777" w:rsidTr="000F7CC8">
        <w:trPr>
          <w:trHeight w:val="2880"/>
        </w:trPr>
        <w:tc>
          <w:tcPr>
            <w:tcW w:w="4320" w:type="dxa"/>
            <w:vAlign w:val="center"/>
          </w:tcPr>
          <w:p w14:paraId="6509078F" w14:textId="393BC1E7"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DNA</w:t>
            </w:r>
            <w:r w:rsidRPr="000F7CC8">
              <w:rPr>
                <w:rFonts w:ascii="Cambria" w:hAnsi="Cambria"/>
                <w:b/>
                <w:bCs/>
                <w:sz w:val="32"/>
                <w:szCs w:val="32"/>
              </w:rPr>
              <w:br/>
            </w:r>
            <w:r w:rsidRPr="000F7CC8">
              <w:rPr>
                <w:rFonts w:ascii="Cambria" w:hAnsi="Cambria"/>
                <w:b/>
                <w:bCs/>
                <w:sz w:val="32"/>
                <w:szCs w:val="32"/>
              </w:rPr>
              <w:t>(deoxyribonucleic acid)</w:t>
            </w:r>
          </w:p>
        </w:tc>
        <w:tc>
          <w:tcPr>
            <w:tcW w:w="6120" w:type="dxa"/>
            <w:gridSpan w:val="2"/>
            <w:vAlign w:val="center"/>
          </w:tcPr>
          <w:p w14:paraId="2673F2EF" w14:textId="20FEA3D5"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Molecules inside the cells of living things that hold the instructions for how to make and maintain a specific life form</w:t>
            </w:r>
          </w:p>
        </w:tc>
      </w:tr>
      <w:tr w:rsidR="00953762" w14:paraId="687B94E9" w14:textId="77777777" w:rsidTr="000F7CC8">
        <w:trPr>
          <w:trHeight w:val="2880"/>
        </w:trPr>
        <w:tc>
          <w:tcPr>
            <w:tcW w:w="4320" w:type="dxa"/>
            <w:vAlign w:val="center"/>
          </w:tcPr>
          <w:p w14:paraId="0C19A293" w14:textId="78135CE7"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lastRenderedPageBreak/>
              <w:t>Egg</w:t>
            </w:r>
          </w:p>
        </w:tc>
        <w:tc>
          <w:tcPr>
            <w:tcW w:w="6120" w:type="dxa"/>
            <w:gridSpan w:val="2"/>
            <w:vAlign w:val="center"/>
          </w:tcPr>
          <w:p w14:paraId="4E7E9088" w14:textId="63DFD939"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Type of reproductive cell, also known as a gamete; contains half of the genetic information necessary to form a complete organism; associated with the biological female in a parental pair</w:t>
            </w:r>
          </w:p>
        </w:tc>
      </w:tr>
      <w:tr w:rsidR="00953762" w14:paraId="2489855A" w14:textId="77777777" w:rsidTr="000F7CC8">
        <w:trPr>
          <w:trHeight w:val="2880"/>
        </w:trPr>
        <w:tc>
          <w:tcPr>
            <w:tcW w:w="4320" w:type="dxa"/>
            <w:vAlign w:val="center"/>
          </w:tcPr>
          <w:p w14:paraId="5B6A63A6" w14:textId="513D9EA3"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Gamete</w:t>
            </w:r>
          </w:p>
        </w:tc>
        <w:tc>
          <w:tcPr>
            <w:tcW w:w="6120" w:type="dxa"/>
            <w:gridSpan w:val="2"/>
            <w:vAlign w:val="center"/>
          </w:tcPr>
          <w:p w14:paraId="414C3B3E" w14:textId="5876E291"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 xml:space="preserve">A reproductive cell containing half of the genetic material required to produce an individual. In humans, those gametes are an egg and sperm. In plants, they are </w:t>
            </w:r>
            <w:proofErr w:type="gramStart"/>
            <w:r w:rsidRPr="000F7CC8">
              <w:rPr>
                <w:rFonts w:ascii="Cambria" w:hAnsi="Cambria"/>
                <w:sz w:val="28"/>
                <w:szCs w:val="28"/>
              </w:rPr>
              <w:t>a pollen</w:t>
            </w:r>
            <w:proofErr w:type="gramEnd"/>
            <w:r w:rsidRPr="000F7CC8">
              <w:rPr>
                <w:rFonts w:ascii="Cambria" w:hAnsi="Cambria"/>
                <w:sz w:val="28"/>
                <w:szCs w:val="28"/>
              </w:rPr>
              <w:t xml:space="preserve"> grain and ovum.</w:t>
            </w:r>
          </w:p>
        </w:tc>
      </w:tr>
      <w:tr w:rsidR="00953762" w14:paraId="244BD716" w14:textId="77777777" w:rsidTr="000F7CC8">
        <w:trPr>
          <w:trHeight w:val="2880"/>
        </w:trPr>
        <w:tc>
          <w:tcPr>
            <w:tcW w:w="4320" w:type="dxa"/>
            <w:vAlign w:val="center"/>
          </w:tcPr>
          <w:p w14:paraId="16DA9547" w14:textId="43FBA111"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Gene</w:t>
            </w:r>
          </w:p>
        </w:tc>
        <w:tc>
          <w:tcPr>
            <w:tcW w:w="6120" w:type="dxa"/>
            <w:gridSpan w:val="2"/>
            <w:vAlign w:val="center"/>
          </w:tcPr>
          <w:p w14:paraId="67077622" w14:textId="63DEB2A2"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 xml:space="preserve">A sequence of DNA that determines a particular characteristic in an organism. Genes are passed from parents to children, and genes contain </w:t>
            </w:r>
            <w:proofErr w:type="gramStart"/>
            <w:r w:rsidRPr="000F7CC8">
              <w:rPr>
                <w:rFonts w:ascii="Cambria" w:hAnsi="Cambria"/>
                <w:sz w:val="28"/>
                <w:szCs w:val="28"/>
              </w:rPr>
              <w:t>the instructions</w:t>
            </w:r>
            <w:proofErr w:type="gramEnd"/>
            <w:r w:rsidRPr="000F7CC8">
              <w:rPr>
                <w:rFonts w:ascii="Cambria" w:hAnsi="Cambria"/>
                <w:sz w:val="28"/>
                <w:szCs w:val="28"/>
              </w:rPr>
              <w:t xml:space="preserve"> for building proteins.</w:t>
            </w:r>
          </w:p>
        </w:tc>
      </w:tr>
      <w:tr w:rsidR="00953762" w14:paraId="3CC83FFA" w14:textId="77777777" w:rsidTr="000F7CC8">
        <w:trPr>
          <w:trHeight w:val="2880"/>
        </w:trPr>
        <w:tc>
          <w:tcPr>
            <w:tcW w:w="4320" w:type="dxa"/>
            <w:vAlign w:val="center"/>
          </w:tcPr>
          <w:p w14:paraId="1A759E9F" w14:textId="275ED874"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Genetic engineering</w:t>
            </w:r>
          </w:p>
        </w:tc>
        <w:tc>
          <w:tcPr>
            <w:tcW w:w="6120" w:type="dxa"/>
            <w:gridSpan w:val="2"/>
            <w:vAlign w:val="center"/>
          </w:tcPr>
          <w:p w14:paraId="62B45FB3" w14:textId="7177E882" w:rsidR="00953762" w:rsidRPr="000F7CC8" w:rsidRDefault="00953762" w:rsidP="000F7CC8">
            <w:pPr>
              <w:spacing w:line="259" w:lineRule="auto"/>
              <w:ind w:left="352" w:right="339"/>
              <w:jc w:val="center"/>
              <w:rPr>
                <w:rFonts w:ascii="Cambria" w:hAnsi="Cambria"/>
                <w:sz w:val="28"/>
                <w:szCs w:val="28"/>
              </w:rPr>
            </w:pPr>
            <w:r w:rsidRPr="000F7CC8">
              <w:rPr>
                <w:rFonts w:ascii="Cambria" w:hAnsi="Cambria"/>
                <w:sz w:val="28"/>
                <w:szCs w:val="28"/>
              </w:rPr>
              <w:t>The act of tweaking a living thing’s DNA to give the organism certain traits</w:t>
            </w:r>
          </w:p>
        </w:tc>
      </w:tr>
      <w:tr w:rsidR="00953762" w14:paraId="7EAFBA00" w14:textId="77777777" w:rsidTr="000F7CC8">
        <w:trPr>
          <w:trHeight w:val="2880"/>
        </w:trPr>
        <w:tc>
          <w:tcPr>
            <w:tcW w:w="4320" w:type="dxa"/>
            <w:vAlign w:val="center"/>
          </w:tcPr>
          <w:p w14:paraId="0BDDA196" w14:textId="7CA2945B"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lastRenderedPageBreak/>
              <w:t>Genome</w:t>
            </w:r>
          </w:p>
        </w:tc>
        <w:tc>
          <w:tcPr>
            <w:tcW w:w="6120" w:type="dxa"/>
            <w:gridSpan w:val="2"/>
            <w:vAlign w:val="center"/>
          </w:tcPr>
          <w:p w14:paraId="40B8700F" w14:textId="201FC681"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The complete set of genes or genetic material present in a cell or organism</w:t>
            </w:r>
          </w:p>
        </w:tc>
      </w:tr>
      <w:tr w:rsidR="00953762" w14:paraId="1E031F2E" w14:textId="77777777" w:rsidTr="000F7CC8">
        <w:trPr>
          <w:trHeight w:val="2880"/>
        </w:trPr>
        <w:tc>
          <w:tcPr>
            <w:tcW w:w="4320" w:type="dxa"/>
            <w:vAlign w:val="center"/>
          </w:tcPr>
          <w:p w14:paraId="26F72A1C" w14:textId="79296DFC"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Haploid</w:t>
            </w:r>
          </w:p>
        </w:tc>
        <w:tc>
          <w:tcPr>
            <w:tcW w:w="6120" w:type="dxa"/>
            <w:gridSpan w:val="2"/>
            <w:vAlign w:val="center"/>
          </w:tcPr>
          <w:p w14:paraId="5B13B492" w14:textId="1238AF63"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Having one set of chromosomes; in other words, genetic information from only a sperm or an egg</w:t>
            </w:r>
          </w:p>
        </w:tc>
      </w:tr>
      <w:tr w:rsidR="00953762" w14:paraId="3C4E858D" w14:textId="77777777" w:rsidTr="000F7CC8">
        <w:trPr>
          <w:trHeight w:val="2880"/>
        </w:trPr>
        <w:tc>
          <w:tcPr>
            <w:tcW w:w="4320" w:type="dxa"/>
            <w:vAlign w:val="center"/>
          </w:tcPr>
          <w:p w14:paraId="0B1C87DA" w14:textId="456D4D8A"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Hybrid</w:t>
            </w:r>
          </w:p>
        </w:tc>
        <w:tc>
          <w:tcPr>
            <w:tcW w:w="6120" w:type="dxa"/>
            <w:gridSpan w:val="2"/>
            <w:vAlign w:val="center"/>
          </w:tcPr>
          <w:p w14:paraId="39D1AFB5" w14:textId="30DA3C87"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An organism produced by interbreeding of two animals or plants of different species or of genetically distinct populations within a species. Such offspring often possess genes passed on by each parent, yielding a combination of traits not known in previous generations.</w:t>
            </w:r>
          </w:p>
        </w:tc>
      </w:tr>
      <w:tr w:rsidR="00953762" w14:paraId="18EC559B" w14:textId="77777777" w:rsidTr="000F7CC8">
        <w:trPr>
          <w:trHeight w:val="2880"/>
        </w:trPr>
        <w:tc>
          <w:tcPr>
            <w:tcW w:w="4320" w:type="dxa"/>
            <w:vAlign w:val="center"/>
          </w:tcPr>
          <w:p w14:paraId="11C45F81" w14:textId="327027F4"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t>Meiosis</w:t>
            </w:r>
          </w:p>
        </w:tc>
        <w:tc>
          <w:tcPr>
            <w:tcW w:w="6120" w:type="dxa"/>
            <w:gridSpan w:val="2"/>
            <w:vAlign w:val="center"/>
          </w:tcPr>
          <w:p w14:paraId="0461043D" w14:textId="6CE85D71"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A type of cell division that creates sperm in biological males and eggs in biological females; involves two rounds of division, creating 4 haploid cells</w:t>
            </w:r>
          </w:p>
        </w:tc>
      </w:tr>
      <w:tr w:rsidR="00953762" w14:paraId="42AC8B8E" w14:textId="77777777" w:rsidTr="000F7CC8">
        <w:trPr>
          <w:trHeight w:val="2880"/>
        </w:trPr>
        <w:tc>
          <w:tcPr>
            <w:tcW w:w="4320" w:type="dxa"/>
            <w:tcBorders>
              <w:right w:val="single" w:sz="4" w:space="0" w:color="auto"/>
            </w:tcBorders>
            <w:vAlign w:val="center"/>
          </w:tcPr>
          <w:p w14:paraId="4A0E6DDA" w14:textId="0EB88DB5" w:rsidR="00953762" w:rsidRPr="000F7CC8" w:rsidRDefault="00953762" w:rsidP="000F7CC8">
            <w:pPr>
              <w:spacing w:line="259" w:lineRule="auto"/>
              <w:jc w:val="center"/>
              <w:rPr>
                <w:rFonts w:ascii="Cambria" w:hAnsi="Cambria"/>
                <w:b/>
                <w:bCs/>
                <w:sz w:val="32"/>
                <w:szCs w:val="32"/>
              </w:rPr>
            </w:pPr>
            <w:r w:rsidRPr="000F7CC8">
              <w:rPr>
                <w:rFonts w:ascii="Cambria" w:hAnsi="Cambria"/>
                <w:b/>
                <w:bCs/>
                <w:sz w:val="32"/>
                <w:szCs w:val="32"/>
              </w:rPr>
              <w:lastRenderedPageBreak/>
              <w:t>Natural selection</w:t>
            </w:r>
          </w:p>
        </w:tc>
        <w:tc>
          <w:tcPr>
            <w:tcW w:w="6120" w:type="dxa"/>
            <w:gridSpan w:val="2"/>
            <w:tcBorders>
              <w:left w:val="single" w:sz="4" w:space="0" w:color="auto"/>
            </w:tcBorders>
            <w:vAlign w:val="center"/>
          </w:tcPr>
          <w:p w14:paraId="5CEB1C61" w14:textId="24250091" w:rsidR="00953762" w:rsidRPr="000F7CC8" w:rsidRDefault="000F7CC8" w:rsidP="000F7CC8">
            <w:pPr>
              <w:spacing w:line="259" w:lineRule="auto"/>
              <w:ind w:left="262" w:right="339"/>
              <w:jc w:val="center"/>
              <w:rPr>
                <w:rFonts w:ascii="Cambria" w:hAnsi="Cambria"/>
                <w:sz w:val="24"/>
                <w:szCs w:val="24"/>
              </w:rPr>
            </w:pPr>
            <w:r>
              <w:rPr>
                <w:rFonts w:ascii="Cambria" w:hAnsi="Cambria"/>
                <w:sz w:val="24"/>
                <w:szCs w:val="24"/>
              </w:rPr>
              <w:br/>
            </w:r>
            <w:r w:rsidR="00953762" w:rsidRPr="000F7CC8">
              <w:rPr>
                <w:rFonts w:ascii="Cambria" w:hAnsi="Cambria"/>
                <w:sz w:val="24"/>
                <w:szCs w:val="24"/>
              </w:rPr>
              <w:t>This is guiding concept underlying evolution, or natural adaptation. It holds that natural mutations within a population of organisms will create some new forms that are better adapted to their environment. That adaptation makes them more likely to survive and reproduce. Over time, these survivors may come to dominate the original population. If their adaptive changes are significant enough, those survivors may also constitute a new species.</w:t>
            </w:r>
            <w:r>
              <w:rPr>
                <w:rFonts w:ascii="Cambria" w:hAnsi="Cambria"/>
                <w:sz w:val="24"/>
                <w:szCs w:val="24"/>
              </w:rPr>
              <w:br/>
            </w:r>
          </w:p>
        </w:tc>
      </w:tr>
      <w:tr w:rsidR="00953762" w14:paraId="48F320FB" w14:textId="77777777" w:rsidTr="000F7CC8">
        <w:trPr>
          <w:trHeight w:val="2880"/>
        </w:trPr>
        <w:tc>
          <w:tcPr>
            <w:tcW w:w="4320" w:type="dxa"/>
            <w:tcBorders>
              <w:right w:val="single" w:sz="4" w:space="0" w:color="auto"/>
            </w:tcBorders>
            <w:vAlign w:val="center"/>
          </w:tcPr>
          <w:p w14:paraId="16B49CE0" w14:textId="5245E134" w:rsidR="00953762" w:rsidRPr="000F7CC8" w:rsidRDefault="00953762" w:rsidP="00953762">
            <w:pPr>
              <w:spacing w:line="259" w:lineRule="auto"/>
              <w:jc w:val="center"/>
              <w:rPr>
                <w:rFonts w:ascii="Cambria" w:hAnsi="Cambria"/>
                <w:b/>
                <w:bCs/>
                <w:sz w:val="32"/>
                <w:szCs w:val="32"/>
              </w:rPr>
            </w:pPr>
            <w:r w:rsidRPr="000F7CC8">
              <w:rPr>
                <w:rFonts w:ascii="Cambria" w:hAnsi="Cambria"/>
                <w:b/>
                <w:bCs/>
                <w:sz w:val="32"/>
                <w:szCs w:val="32"/>
              </w:rPr>
              <w:t>Pollinate</w:t>
            </w:r>
          </w:p>
        </w:tc>
        <w:tc>
          <w:tcPr>
            <w:tcW w:w="6120" w:type="dxa"/>
            <w:gridSpan w:val="2"/>
            <w:tcBorders>
              <w:left w:val="single" w:sz="4" w:space="0" w:color="auto"/>
            </w:tcBorders>
            <w:vAlign w:val="center"/>
          </w:tcPr>
          <w:p w14:paraId="69CF18B1" w14:textId="1689A8E2"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To transport male reproductive cells — pollen — to female parts of a flower. This allows fertilization, the first step in plant reproduction.</w:t>
            </w:r>
          </w:p>
        </w:tc>
      </w:tr>
      <w:tr w:rsidR="00953762" w14:paraId="525B1656" w14:textId="77777777" w:rsidTr="000F7CC8">
        <w:trPr>
          <w:trHeight w:val="2880"/>
        </w:trPr>
        <w:tc>
          <w:tcPr>
            <w:tcW w:w="4320" w:type="dxa"/>
            <w:tcBorders>
              <w:right w:val="single" w:sz="4" w:space="0" w:color="auto"/>
            </w:tcBorders>
            <w:vAlign w:val="center"/>
          </w:tcPr>
          <w:p w14:paraId="165C9794" w14:textId="4F697DA9" w:rsidR="00953762" w:rsidRPr="000F7CC8" w:rsidRDefault="00953762" w:rsidP="00953762">
            <w:pPr>
              <w:spacing w:line="259" w:lineRule="auto"/>
              <w:jc w:val="center"/>
              <w:rPr>
                <w:rFonts w:ascii="Cambria" w:hAnsi="Cambria"/>
                <w:b/>
                <w:bCs/>
                <w:sz w:val="32"/>
                <w:szCs w:val="32"/>
              </w:rPr>
            </w:pPr>
            <w:r w:rsidRPr="000F7CC8">
              <w:rPr>
                <w:rFonts w:ascii="Cambria" w:hAnsi="Cambria"/>
                <w:b/>
                <w:bCs/>
                <w:sz w:val="32"/>
                <w:szCs w:val="32"/>
              </w:rPr>
              <w:t>RNA</w:t>
            </w:r>
            <w:r w:rsidRPr="000F7CC8">
              <w:rPr>
                <w:rFonts w:ascii="Cambria" w:hAnsi="Cambria"/>
                <w:b/>
                <w:bCs/>
                <w:sz w:val="32"/>
                <w:szCs w:val="32"/>
              </w:rPr>
              <w:br/>
            </w:r>
            <w:r w:rsidRPr="000F7CC8">
              <w:rPr>
                <w:rFonts w:ascii="Cambria" w:hAnsi="Cambria"/>
                <w:b/>
                <w:bCs/>
                <w:sz w:val="32"/>
                <w:szCs w:val="32"/>
              </w:rPr>
              <w:t>(ribonucleic acid)</w:t>
            </w:r>
          </w:p>
        </w:tc>
        <w:tc>
          <w:tcPr>
            <w:tcW w:w="6120" w:type="dxa"/>
            <w:gridSpan w:val="2"/>
            <w:tcBorders>
              <w:left w:val="single" w:sz="4" w:space="0" w:color="auto"/>
            </w:tcBorders>
            <w:vAlign w:val="center"/>
          </w:tcPr>
          <w:p w14:paraId="39F04A31" w14:textId="3A2094B5"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A molecule that helps cells carry out the instructions in DNA so that cells can make proteins</w:t>
            </w:r>
          </w:p>
        </w:tc>
      </w:tr>
      <w:tr w:rsidR="00953762" w14:paraId="1634790B" w14:textId="77777777" w:rsidTr="000F7CC8">
        <w:trPr>
          <w:trHeight w:val="2880"/>
        </w:trPr>
        <w:tc>
          <w:tcPr>
            <w:tcW w:w="4320" w:type="dxa"/>
            <w:tcBorders>
              <w:right w:val="single" w:sz="4" w:space="0" w:color="auto"/>
            </w:tcBorders>
            <w:vAlign w:val="center"/>
          </w:tcPr>
          <w:p w14:paraId="1FD64B75" w14:textId="13C3F489" w:rsidR="00953762" w:rsidRPr="000F7CC8" w:rsidRDefault="00953762" w:rsidP="00953762">
            <w:pPr>
              <w:spacing w:line="259" w:lineRule="auto"/>
              <w:jc w:val="center"/>
              <w:rPr>
                <w:rFonts w:ascii="Cambria" w:hAnsi="Cambria"/>
                <w:b/>
                <w:bCs/>
                <w:sz w:val="32"/>
                <w:szCs w:val="32"/>
              </w:rPr>
            </w:pPr>
            <w:r w:rsidRPr="000F7CC8">
              <w:rPr>
                <w:rFonts w:ascii="Cambria" w:hAnsi="Cambria"/>
                <w:b/>
                <w:bCs/>
                <w:sz w:val="32"/>
                <w:szCs w:val="32"/>
              </w:rPr>
              <w:t>Somatic</w:t>
            </w:r>
          </w:p>
        </w:tc>
        <w:tc>
          <w:tcPr>
            <w:tcW w:w="6120" w:type="dxa"/>
            <w:gridSpan w:val="2"/>
            <w:tcBorders>
              <w:left w:val="single" w:sz="4" w:space="0" w:color="auto"/>
            </w:tcBorders>
            <w:vAlign w:val="center"/>
          </w:tcPr>
          <w:p w14:paraId="1C9834F6" w14:textId="0EF5BCD9"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A term for cells and things that make up the physical aspects of the human body. They are distinct from things relating to the mind (or psyche) and the body’s reproductive cells (eggs and sperm).</w:t>
            </w:r>
          </w:p>
        </w:tc>
      </w:tr>
      <w:tr w:rsidR="00953762" w14:paraId="2729BD5E" w14:textId="77777777" w:rsidTr="000F7CC8">
        <w:trPr>
          <w:trHeight w:val="2880"/>
        </w:trPr>
        <w:tc>
          <w:tcPr>
            <w:tcW w:w="4320" w:type="dxa"/>
            <w:tcBorders>
              <w:right w:val="single" w:sz="4" w:space="0" w:color="auto"/>
            </w:tcBorders>
            <w:vAlign w:val="center"/>
          </w:tcPr>
          <w:p w14:paraId="6274C43D" w14:textId="1D068A8C" w:rsidR="00953762" w:rsidRPr="000F7CC8" w:rsidRDefault="00953762" w:rsidP="00953762">
            <w:pPr>
              <w:spacing w:line="259" w:lineRule="auto"/>
              <w:jc w:val="center"/>
              <w:rPr>
                <w:rFonts w:ascii="Cambria" w:hAnsi="Cambria"/>
                <w:b/>
                <w:bCs/>
                <w:sz w:val="32"/>
                <w:szCs w:val="32"/>
              </w:rPr>
            </w:pPr>
            <w:r w:rsidRPr="000F7CC8">
              <w:rPr>
                <w:rFonts w:ascii="Cambria" w:hAnsi="Cambria"/>
                <w:b/>
                <w:bCs/>
                <w:sz w:val="32"/>
                <w:szCs w:val="32"/>
              </w:rPr>
              <w:lastRenderedPageBreak/>
              <w:t>Sperm</w:t>
            </w:r>
          </w:p>
        </w:tc>
        <w:tc>
          <w:tcPr>
            <w:tcW w:w="6120" w:type="dxa"/>
            <w:gridSpan w:val="2"/>
            <w:tcBorders>
              <w:left w:val="single" w:sz="4" w:space="0" w:color="auto"/>
            </w:tcBorders>
            <w:vAlign w:val="center"/>
          </w:tcPr>
          <w:p w14:paraId="7689FFDD" w14:textId="045A8330"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Type of reproductive cell, also known as a gamete; contains half of the genetic information necessary to form a complete organism; associated with the biological male in a parental pair</w:t>
            </w:r>
          </w:p>
        </w:tc>
      </w:tr>
      <w:tr w:rsidR="00953762" w14:paraId="60CFC0D8" w14:textId="77777777" w:rsidTr="000F7CC8">
        <w:trPr>
          <w:trHeight w:val="2880"/>
        </w:trPr>
        <w:tc>
          <w:tcPr>
            <w:tcW w:w="4320" w:type="dxa"/>
            <w:tcBorders>
              <w:right w:val="single" w:sz="4" w:space="0" w:color="auto"/>
            </w:tcBorders>
            <w:vAlign w:val="center"/>
          </w:tcPr>
          <w:p w14:paraId="01F22B14" w14:textId="22E8EE8A" w:rsidR="00953762" w:rsidRPr="000F7CC8" w:rsidRDefault="00953762" w:rsidP="00953762">
            <w:pPr>
              <w:spacing w:line="259" w:lineRule="auto"/>
              <w:jc w:val="center"/>
              <w:rPr>
                <w:rFonts w:ascii="Cambria" w:hAnsi="Cambria"/>
                <w:b/>
                <w:bCs/>
                <w:sz w:val="32"/>
                <w:szCs w:val="32"/>
              </w:rPr>
            </w:pPr>
            <w:r w:rsidRPr="000F7CC8">
              <w:rPr>
                <w:rFonts w:ascii="Cambria" w:hAnsi="Cambria"/>
                <w:b/>
                <w:bCs/>
                <w:sz w:val="32"/>
                <w:szCs w:val="32"/>
              </w:rPr>
              <w:t>Transcription</w:t>
            </w:r>
          </w:p>
        </w:tc>
        <w:tc>
          <w:tcPr>
            <w:tcW w:w="6120" w:type="dxa"/>
            <w:gridSpan w:val="2"/>
            <w:tcBorders>
              <w:left w:val="single" w:sz="4" w:space="0" w:color="auto"/>
            </w:tcBorders>
            <w:vAlign w:val="center"/>
          </w:tcPr>
          <w:p w14:paraId="276B7762" w14:textId="1F677E50"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The first step in gene expression: an enzyme copies a selected piece of DNA to create RNA (especially messenger RNA). Both DNA and RNA are made up of building blocks known as nucleotides.</w:t>
            </w:r>
          </w:p>
        </w:tc>
      </w:tr>
      <w:tr w:rsidR="00953762" w14:paraId="28F32ADC" w14:textId="77777777" w:rsidTr="000F7CC8">
        <w:trPr>
          <w:trHeight w:val="2880"/>
        </w:trPr>
        <w:tc>
          <w:tcPr>
            <w:tcW w:w="4320" w:type="dxa"/>
            <w:tcBorders>
              <w:right w:val="single" w:sz="4" w:space="0" w:color="auto"/>
            </w:tcBorders>
            <w:vAlign w:val="center"/>
          </w:tcPr>
          <w:p w14:paraId="16B63A75" w14:textId="5D13F8E0" w:rsidR="00953762" w:rsidRPr="000F7CC8" w:rsidRDefault="00953762" w:rsidP="00953762">
            <w:pPr>
              <w:spacing w:line="259" w:lineRule="auto"/>
              <w:jc w:val="center"/>
              <w:rPr>
                <w:rFonts w:ascii="Cambria" w:hAnsi="Cambria"/>
                <w:b/>
                <w:bCs/>
                <w:sz w:val="32"/>
                <w:szCs w:val="32"/>
              </w:rPr>
            </w:pPr>
            <w:r w:rsidRPr="000F7CC8">
              <w:rPr>
                <w:rFonts w:ascii="Cambria" w:hAnsi="Cambria"/>
                <w:b/>
                <w:bCs/>
                <w:sz w:val="32"/>
                <w:szCs w:val="32"/>
              </w:rPr>
              <w:t>Translation</w:t>
            </w:r>
          </w:p>
        </w:tc>
        <w:tc>
          <w:tcPr>
            <w:tcW w:w="6120" w:type="dxa"/>
            <w:gridSpan w:val="2"/>
            <w:tcBorders>
              <w:left w:val="single" w:sz="4" w:space="0" w:color="auto"/>
            </w:tcBorders>
            <w:vAlign w:val="center"/>
          </w:tcPr>
          <w:p w14:paraId="17621603" w14:textId="60658D8A" w:rsidR="00953762" w:rsidRPr="000F7CC8" w:rsidRDefault="00953762" w:rsidP="000F7CC8">
            <w:pPr>
              <w:spacing w:line="259" w:lineRule="auto"/>
              <w:ind w:left="262" w:right="339"/>
              <w:jc w:val="center"/>
              <w:rPr>
                <w:rFonts w:ascii="Cambria" w:hAnsi="Cambria"/>
                <w:sz w:val="28"/>
                <w:szCs w:val="28"/>
              </w:rPr>
            </w:pPr>
            <w:r w:rsidRPr="000F7CC8">
              <w:rPr>
                <w:rFonts w:ascii="Cambria" w:hAnsi="Cambria"/>
                <w:sz w:val="28"/>
                <w:szCs w:val="28"/>
              </w:rPr>
              <w:t>The process of turning the mRNA message into a protein. A cell does this by assembling the appropriate chemical building blocks, known as amino acids. Translation occurs outside of a cell’s inner core, or nucleus.</w:t>
            </w:r>
          </w:p>
        </w:tc>
      </w:tr>
    </w:tbl>
    <w:p w14:paraId="7C56EDFC" w14:textId="1510C573" w:rsidR="006D276C" w:rsidRPr="00953762" w:rsidRDefault="006D276C" w:rsidP="00BB330C">
      <w:pPr>
        <w:spacing w:line="259" w:lineRule="auto"/>
        <w:rPr>
          <w:rFonts w:ascii="Cambria" w:hAnsi="Cambria"/>
          <w:i/>
          <w:iCs/>
          <w:sz w:val="24"/>
          <w:szCs w:val="24"/>
        </w:rPr>
      </w:pPr>
    </w:p>
    <w:sectPr w:rsidR="006D276C" w:rsidRPr="00953762" w:rsidSect="00953762">
      <w:footerReference w:type="default" r:id="rId12"/>
      <w:headerReference w:type="first" r:id="rId13"/>
      <w:footerReference w:type="first" r:id="rId14"/>
      <w:pgSz w:w="12240" w:h="15840" w:code="1"/>
      <w:pgMar w:top="648" w:right="720" w:bottom="1224" w:left="720" w:header="720" w:footer="8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245EB" w14:textId="77777777" w:rsidR="00F96FC3" w:rsidRDefault="00F96FC3" w:rsidP="00404559">
      <w:pPr>
        <w:spacing w:after="0" w:line="240" w:lineRule="auto"/>
      </w:pPr>
      <w:r>
        <w:separator/>
      </w:r>
    </w:p>
  </w:endnote>
  <w:endnote w:type="continuationSeparator" w:id="0">
    <w:p w14:paraId="1729149F" w14:textId="77777777" w:rsidR="00F96FC3" w:rsidRDefault="00F96FC3"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816D" w14:textId="289F85E3"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269870BA" wp14:editId="41296883">
          <wp:extent cx="1804420" cy="252985"/>
          <wp:effectExtent l="0" t="0" r="5715" b="0"/>
          <wp:docPr id="99323673" name="Picture 99323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1FC301B"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BB330C">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D79E"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1C4D904C" wp14:editId="66A563DC">
          <wp:extent cx="1804420" cy="252985"/>
          <wp:effectExtent l="0" t="0" r="5715" b="0"/>
          <wp:docPr id="173914323" name="Picture 17391432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0D6E8565"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E61E8D">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FC361" w14:textId="77777777" w:rsidR="00F96FC3" w:rsidRDefault="00F96FC3" w:rsidP="00404559">
      <w:pPr>
        <w:spacing w:after="0" w:line="240" w:lineRule="auto"/>
      </w:pPr>
      <w:r>
        <w:separator/>
      </w:r>
    </w:p>
  </w:footnote>
  <w:footnote w:type="continuationSeparator" w:id="0">
    <w:p w14:paraId="495B34E6" w14:textId="77777777" w:rsidR="00F96FC3" w:rsidRDefault="00F96FC3"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B0FC" w14:textId="77777777" w:rsidR="00CA16D8" w:rsidRDefault="0087696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6C9B345E" wp14:editId="1934DEA1">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636658166"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241B6394"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62"/>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0F7CC8"/>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0CEE"/>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3A48"/>
    <w:rsid w:val="002B4A24"/>
    <w:rsid w:val="002C7585"/>
    <w:rsid w:val="002D4CE8"/>
    <w:rsid w:val="002D61FA"/>
    <w:rsid w:val="002E058A"/>
    <w:rsid w:val="002E4BCE"/>
    <w:rsid w:val="002E77A7"/>
    <w:rsid w:val="002F1874"/>
    <w:rsid w:val="002F2602"/>
    <w:rsid w:val="002F3CD2"/>
    <w:rsid w:val="002F63A3"/>
    <w:rsid w:val="00303E26"/>
    <w:rsid w:val="00304528"/>
    <w:rsid w:val="003078EC"/>
    <w:rsid w:val="00307DB4"/>
    <w:rsid w:val="00313206"/>
    <w:rsid w:val="00313713"/>
    <w:rsid w:val="003138F9"/>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2E8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E4AE2"/>
    <w:rsid w:val="003F1074"/>
    <w:rsid w:val="003F398C"/>
    <w:rsid w:val="003F7E5D"/>
    <w:rsid w:val="00401EFE"/>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1E69"/>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B"/>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4FA4"/>
    <w:rsid w:val="00827C30"/>
    <w:rsid w:val="00831691"/>
    <w:rsid w:val="008330E6"/>
    <w:rsid w:val="00833665"/>
    <w:rsid w:val="00833E4E"/>
    <w:rsid w:val="0083470B"/>
    <w:rsid w:val="00834FF6"/>
    <w:rsid w:val="008361D2"/>
    <w:rsid w:val="00837E21"/>
    <w:rsid w:val="00846B42"/>
    <w:rsid w:val="00850948"/>
    <w:rsid w:val="00870A92"/>
    <w:rsid w:val="008755CB"/>
    <w:rsid w:val="00876967"/>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76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81"/>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330C"/>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0E90"/>
    <w:rsid w:val="00C84358"/>
    <w:rsid w:val="00C9548C"/>
    <w:rsid w:val="00CA16D8"/>
    <w:rsid w:val="00CA4D84"/>
    <w:rsid w:val="00CA4DD8"/>
    <w:rsid w:val="00CB1B22"/>
    <w:rsid w:val="00CB7B80"/>
    <w:rsid w:val="00CC04E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1E8D"/>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0A48"/>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96FC3"/>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C5F26"/>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3F1D9"/>
  <w15:docId w15:val="{3DEE2B84-9E26-4DCB-8745-D47A4F5C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cb6bbf2e-4afc-49dc-b2b7-04e316722a14_Guide%20Templates.zip.Guide%20Templates.zip\3.%20and%205.%20EducatorLessonPlan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98E631-0B5D-4335-9BC1-D4B627749E86}">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3.xml><?xml version="1.0" encoding="utf-8"?>
<ds:datastoreItem xmlns:ds="http://schemas.openxmlformats.org/officeDocument/2006/customXml" ds:itemID="{5958D5F2-58D9-43D9-9BE4-E11697DAA24B}">
  <ds:schemaRefs>
    <ds:schemaRef ds:uri="http://schemas.microsoft.com/sharepoint/v3/contenttype/forms"/>
  </ds:schemaRefs>
</ds:datastoreItem>
</file>

<file path=customXml/itemProps4.xml><?xml version="1.0" encoding="utf-8"?>
<ds:datastoreItem xmlns:ds="http://schemas.openxmlformats.org/officeDocument/2006/customXml" ds:itemID="{99A07D01-8C4C-4D57-BD5E-56D2C0FA1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 and 5. EducatorLessonPlan_25.dotx</Template>
  <TotalTime>14</TotalTime>
  <Pages>5</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2025-09-25T17:50:00Z</dcterms:created>
  <dcterms:modified xsi:type="dcterms:W3CDTF">2025-09-25T18:06:00Z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